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323"/>
        <w:gridCol w:w="6894"/>
      </w:tblGrid>
      <w:tr w:rsidR="00143C6E" w:rsidRPr="00063893" w:rsidTr="00CF5E7B">
        <w:tc>
          <w:tcPr>
            <w:tcW w:w="2126" w:type="dxa"/>
            <w:vAlign w:val="center"/>
          </w:tcPr>
          <w:p w:rsidR="00143C6E" w:rsidRPr="00063893" w:rsidRDefault="00143C6E" w:rsidP="002703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063893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Ф.И.О. СТУДЕНТА</w:t>
            </w:r>
            <w:r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(полностью)</w:t>
            </w:r>
          </w:p>
        </w:tc>
        <w:tc>
          <w:tcPr>
            <w:tcW w:w="1323" w:type="dxa"/>
            <w:vAlign w:val="center"/>
          </w:tcPr>
          <w:p w:rsidR="00143C6E" w:rsidRPr="00063893" w:rsidRDefault="00143C6E" w:rsidP="002703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063893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Группа</w:t>
            </w:r>
          </w:p>
        </w:tc>
        <w:tc>
          <w:tcPr>
            <w:tcW w:w="6894" w:type="dxa"/>
            <w:vAlign w:val="center"/>
          </w:tcPr>
          <w:p w:rsidR="00143C6E" w:rsidRPr="00063893" w:rsidRDefault="00143C6E" w:rsidP="002703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063893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ОСНОВАНИЕ</w:t>
            </w:r>
            <w:r w:rsid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(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с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перечислением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всех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основных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заслуг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(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дипломы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,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медали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,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грамоты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,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сертификаты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,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в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порядке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значимости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конкурса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(1-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ый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международный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, 2-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ой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всероссийский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, 3-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ий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реги</w:t>
            </w:r>
            <w:bookmarkStart w:id="0" w:name="_GoBack"/>
            <w:bookmarkEnd w:id="0"/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ональный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официальный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 xml:space="preserve"> </w:t>
            </w:r>
            <w:r w:rsidR="00BB77C4" w:rsidRPr="00BB77C4">
              <w:rPr>
                <w:rFonts w:ascii="Times New Roman" w:hAnsi="Times New Roman" w:hint="eastAsia"/>
                <w:b/>
                <w:sz w:val="24"/>
                <w:szCs w:val="24"/>
                <w:vertAlign w:val="baseline"/>
              </w:rPr>
              <w:t>статус</w:t>
            </w:r>
            <w:r w:rsidR="00BB77C4" w:rsidRP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))</w:t>
            </w:r>
            <w:r w:rsidR="00BB77C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)</w:t>
            </w:r>
          </w:p>
        </w:tc>
      </w:tr>
      <w:tr w:rsidR="00143C6E" w:rsidRPr="00A1479C" w:rsidTr="00CF5E7B">
        <w:tc>
          <w:tcPr>
            <w:tcW w:w="2126" w:type="dxa"/>
          </w:tcPr>
          <w:p w:rsidR="00143C6E" w:rsidRPr="00A1479C" w:rsidRDefault="00143C6E" w:rsidP="0027030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</w:tcPr>
          <w:p w:rsidR="00143C6E" w:rsidRPr="00A1479C" w:rsidRDefault="00143C6E" w:rsidP="0027030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6894" w:type="dxa"/>
          </w:tcPr>
          <w:p w:rsidR="00143C6E" w:rsidRPr="00143C6E" w:rsidRDefault="00143C6E" w:rsidP="00143C6E">
            <w:pPr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  <w:sz w:val="20"/>
                <w:highlight w:val="yellow"/>
                <w:vertAlign w:val="baseline"/>
              </w:rPr>
            </w:pP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Диплом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II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степени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Четвертьфинал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а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международного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конкурса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ACM-ICPC 2014-2015, NEERC (9-12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октября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2014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года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,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Екатеринбург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, </w:t>
            </w:r>
            <w:proofErr w:type="spellStart"/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УрФУ</w:t>
            </w:r>
            <w:proofErr w:type="spellEnd"/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)</w:t>
            </w:r>
          </w:p>
          <w:p w:rsidR="00143C6E" w:rsidRPr="00143C6E" w:rsidRDefault="00143C6E" w:rsidP="00143C6E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rFonts w:ascii="Times New Roman" w:hAnsi="Times New Roman"/>
                <w:sz w:val="20"/>
                <w:highlight w:val="yellow"/>
                <w:vertAlign w:val="baseline"/>
              </w:rPr>
            </w:pP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бронзовая медаль О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ткрыт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ой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международн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ой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Интернет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-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олимпиад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ы, дисциплина «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Информатика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»,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профиль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«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Специализированный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(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углубленным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изучением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соответствующей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дисциплины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)» (27-29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марта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2014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года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,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ЮУрГУ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);</w:t>
            </w:r>
          </w:p>
          <w:p w:rsidR="00143C6E" w:rsidRPr="00143C6E" w:rsidRDefault="00143C6E" w:rsidP="00143C6E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rFonts w:ascii="Times New Roman" w:hAnsi="Times New Roman"/>
                <w:sz w:val="20"/>
                <w:highlight w:val="yellow"/>
                <w:vertAlign w:val="baseline"/>
              </w:rPr>
            </w:pP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диплом за 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  <w:lang w:val="en-US"/>
              </w:rPr>
              <w:t>I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место в 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  <w:lang w:val="en-US"/>
              </w:rPr>
              <w:t>III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Межвузовской олимпиаде для студентов по информатике и информационным технологиям (г. Уфа, УГНТУ, 19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ноября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2014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года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);</w:t>
            </w:r>
          </w:p>
          <w:p w:rsidR="00143C6E" w:rsidRPr="00CF5E7B" w:rsidRDefault="00143C6E" w:rsidP="00143C6E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диплом 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  <w:lang w:val="en-US"/>
              </w:rPr>
              <w:t>II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степени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Открыт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ого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чемпионат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а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Поволжья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по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спортивному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программированию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(3-6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апреля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2014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года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,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Самара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, </w:t>
            </w:r>
            <w:r w:rsidRPr="00143C6E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СГУ</w:t>
            </w:r>
            <w:r w:rsidRPr="00143C6E">
              <w:rPr>
                <w:rFonts w:ascii="Times New Roman" w:hAnsi="Times New Roman"/>
                <w:sz w:val="20"/>
                <w:highlight w:val="yellow"/>
                <w:vertAlign w:val="baseline"/>
              </w:rPr>
              <w:t>).</w:t>
            </w:r>
          </w:p>
          <w:p w:rsidR="00CF5E7B" w:rsidRPr="00CE4139" w:rsidRDefault="00CF5E7B" w:rsidP="00CF5E7B">
            <w:pPr>
              <w:numPr>
                <w:ilvl w:val="0"/>
                <w:numId w:val="1"/>
              </w:numPr>
              <w:autoSpaceDE w:val="0"/>
              <w:autoSpaceDN w:val="0"/>
              <w:ind w:left="-10" w:firstLine="37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Савченко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Д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>.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И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.,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Радченко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>.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И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.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Методология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тестирования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proofErr w:type="spellStart"/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микросервисных</w:t>
            </w:r>
            <w:proofErr w:type="spellEnd"/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облачных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приложений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. //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Суперкомпьютерные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дни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в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России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: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Труды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международной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конференции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(28-29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сентября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 2015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.,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г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 xml:space="preserve">. </w:t>
            </w:r>
            <w:r w:rsidRPr="00CF5E7B">
              <w:rPr>
                <w:rFonts w:ascii="Times New Roman" w:hAnsi="Times New Roman" w:hint="eastAsia"/>
                <w:sz w:val="20"/>
                <w:highlight w:val="yellow"/>
                <w:vertAlign w:val="baseline"/>
              </w:rPr>
              <w:t>Москва</w:t>
            </w:r>
            <w:r w:rsidRPr="00CF5E7B">
              <w:rPr>
                <w:rFonts w:ascii="Times New Roman" w:hAnsi="Times New Roman"/>
                <w:sz w:val="20"/>
                <w:highlight w:val="yellow"/>
                <w:vertAlign w:val="baseline"/>
              </w:rPr>
              <w:t>), 2015. – C. 245-256.</w:t>
            </w:r>
          </w:p>
        </w:tc>
      </w:tr>
    </w:tbl>
    <w:p w:rsidR="004551AC" w:rsidRDefault="004551AC"/>
    <w:sectPr w:rsidR="004551AC" w:rsidSect="00143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01"/>
    <w:multiLevelType w:val="hybridMultilevel"/>
    <w:tmpl w:val="AF68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6E"/>
    <w:rsid w:val="00143C6E"/>
    <w:rsid w:val="004551AC"/>
    <w:rsid w:val="00BB77C4"/>
    <w:rsid w:val="00C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1348"/>
  <w15:chartTrackingRefBased/>
  <w15:docId w15:val="{43E1EABA-AECA-4579-8CE9-AA0999A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6E"/>
    <w:pPr>
      <w:spacing w:after="0" w:line="240" w:lineRule="auto"/>
    </w:pPr>
    <w:rPr>
      <w:rFonts w:ascii="Antiqua" w:eastAsia="Times New Roman" w:hAnsi="Antiqua" w:cs="Times New Roman"/>
      <w:sz w:val="16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2016-12-09T12:18:00Z</dcterms:created>
  <dcterms:modified xsi:type="dcterms:W3CDTF">2016-12-09T12:31:00Z</dcterms:modified>
</cp:coreProperties>
</file>